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03EB" w14:textId="767F7A81" w:rsidR="00DD0632" w:rsidRDefault="00DD0632" w:rsidP="00DD0632">
      <w:pPr>
        <w:jc w:val="right"/>
      </w:pPr>
      <w:r>
        <w:t xml:space="preserve">Příloha č. </w:t>
      </w:r>
      <w:r w:rsidR="00D2790A">
        <w:t>4</w:t>
      </w:r>
    </w:p>
    <w:p w14:paraId="63A469C4" w14:textId="77777777" w:rsidR="00DD0632" w:rsidRDefault="00DD0632" w:rsidP="008C5564">
      <w:pPr>
        <w:pStyle w:val="Nadpis2"/>
        <w:rPr>
          <w:rFonts w:ascii="Times New Roman" w:hAnsi="Times New Roman"/>
          <w:bCs w:val="0"/>
          <w:sz w:val="22"/>
          <w:szCs w:val="22"/>
          <w:u w:val="single"/>
        </w:rPr>
      </w:pPr>
    </w:p>
    <w:p w14:paraId="133127C6" w14:textId="1DA525B6"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491FDEAD" w:rsidR="004F5983" w:rsidRPr="00393723" w:rsidRDefault="000D0B60" w:rsidP="000D0B60">
      <w:pPr>
        <w:spacing w:line="360" w:lineRule="auto"/>
        <w:jc w:val="center"/>
        <w:rPr>
          <w:sz w:val="22"/>
          <w:szCs w:val="22"/>
        </w:rPr>
      </w:pPr>
      <w:r w:rsidRPr="00393723">
        <w:rPr>
          <w:b/>
          <w:sz w:val="22"/>
          <w:szCs w:val="22"/>
        </w:rPr>
        <w:t>„</w:t>
      </w:r>
      <w:r w:rsidR="00D2790A">
        <w:rPr>
          <w:b/>
          <w:bCs/>
          <w:sz w:val="22"/>
          <w:szCs w:val="22"/>
        </w:rPr>
        <w:t>Nákup nového prémiového koncertního klavíru pro ZUŠ Milovice</w:t>
      </w:r>
      <w:r w:rsidRPr="0039372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C42E" w14:textId="77777777" w:rsidR="00B412FF" w:rsidRDefault="00B412FF" w:rsidP="00721685">
      <w:r>
        <w:separator/>
      </w:r>
    </w:p>
  </w:endnote>
  <w:endnote w:type="continuationSeparator" w:id="0">
    <w:p w14:paraId="737FC833" w14:textId="77777777" w:rsidR="00B412FF" w:rsidRDefault="00B412FF"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35F3">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A55A" w14:textId="77777777" w:rsidR="00B412FF" w:rsidRDefault="00B412FF" w:rsidP="00721685">
      <w:r>
        <w:separator/>
      </w:r>
    </w:p>
  </w:footnote>
  <w:footnote w:type="continuationSeparator" w:id="0">
    <w:p w14:paraId="47F11C5A" w14:textId="77777777" w:rsidR="00B412FF" w:rsidRDefault="00B412FF"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65286959">
    <w:abstractNumId w:val="0"/>
  </w:num>
  <w:num w:numId="2" w16cid:durableId="1811748456">
    <w:abstractNumId w:val="4"/>
  </w:num>
  <w:num w:numId="3" w16cid:durableId="1315916553">
    <w:abstractNumId w:val="1"/>
  </w:num>
  <w:num w:numId="4" w16cid:durableId="866065975">
    <w:abstractNumId w:val="2"/>
  </w:num>
  <w:num w:numId="5" w16cid:durableId="38622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A7A"/>
    <w:rsid w:val="000A3CC4"/>
    <w:rsid w:val="000A480E"/>
    <w:rsid w:val="000C5828"/>
    <w:rsid w:val="000D0B60"/>
    <w:rsid w:val="000F4194"/>
    <w:rsid w:val="001428CA"/>
    <w:rsid w:val="001428D7"/>
    <w:rsid w:val="00163DC1"/>
    <w:rsid w:val="00193C69"/>
    <w:rsid w:val="001C5AFC"/>
    <w:rsid w:val="00335720"/>
    <w:rsid w:val="00393723"/>
    <w:rsid w:val="004079CC"/>
    <w:rsid w:val="004121B6"/>
    <w:rsid w:val="004123C6"/>
    <w:rsid w:val="00435FD2"/>
    <w:rsid w:val="0043669A"/>
    <w:rsid w:val="00476E5A"/>
    <w:rsid w:val="004D7ECA"/>
    <w:rsid w:val="004F5983"/>
    <w:rsid w:val="00510441"/>
    <w:rsid w:val="005323E3"/>
    <w:rsid w:val="00622DDA"/>
    <w:rsid w:val="00632FBE"/>
    <w:rsid w:val="0065479D"/>
    <w:rsid w:val="00721685"/>
    <w:rsid w:val="00775BF9"/>
    <w:rsid w:val="007B35F3"/>
    <w:rsid w:val="008130D8"/>
    <w:rsid w:val="0082714A"/>
    <w:rsid w:val="00846CC4"/>
    <w:rsid w:val="00880BB4"/>
    <w:rsid w:val="008C5564"/>
    <w:rsid w:val="00907D22"/>
    <w:rsid w:val="00915C03"/>
    <w:rsid w:val="00946E5D"/>
    <w:rsid w:val="009849DE"/>
    <w:rsid w:val="009A0848"/>
    <w:rsid w:val="00A71974"/>
    <w:rsid w:val="00A755DC"/>
    <w:rsid w:val="00A815F6"/>
    <w:rsid w:val="00AA0F7A"/>
    <w:rsid w:val="00B412FF"/>
    <w:rsid w:val="00B477DD"/>
    <w:rsid w:val="00B73E3C"/>
    <w:rsid w:val="00BC4320"/>
    <w:rsid w:val="00BE7663"/>
    <w:rsid w:val="00C11CAA"/>
    <w:rsid w:val="00C22A7A"/>
    <w:rsid w:val="00C559B3"/>
    <w:rsid w:val="00C72782"/>
    <w:rsid w:val="00C72FCE"/>
    <w:rsid w:val="00C84649"/>
    <w:rsid w:val="00D2790A"/>
    <w:rsid w:val="00DD0632"/>
    <w:rsid w:val="00DD0C5C"/>
    <w:rsid w:val="00DD4718"/>
    <w:rsid w:val="00DF3DF6"/>
    <w:rsid w:val="00E40729"/>
    <w:rsid w:val="00E44C62"/>
    <w:rsid w:val="00EA21C4"/>
    <w:rsid w:val="00EA3F13"/>
    <w:rsid w:val="00EC2056"/>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15:docId w15:val="{1DBBD956-1988-48DB-AF80-BAADE3B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26CF-65ED-40F1-8BF5-9AAF65CB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380</Words>
  <Characters>2248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Veronika Hermachová</cp:lastModifiedBy>
  <cp:revision>6</cp:revision>
  <cp:lastPrinted>2024-05-31T06:29:00Z</cp:lastPrinted>
  <dcterms:created xsi:type="dcterms:W3CDTF">2022-08-18T07:30:00Z</dcterms:created>
  <dcterms:modified xsi:type="dcterms:W3CDTF">2025-09-10T15:17:00Z</dcterms:modified>
</cp:coreProperties>
</file>